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3382D"/>
          <w:sz w:val="18"/>
        </w:rPr>
        <w:t>OWEN S. ARNOFF, EA, NTPI FELLOW</w:t>
      </w:r>
    </w:p>
    <w:p>
      <w:pPr>
        <w:pStyle w:val="Title"/>
        <w:jc w:val="center"/>
      </w:pPr>
      <w:r>
        <w:t>Tax Record Retention Guide</w:t>
      </w:r>
    </w:p>
    <w:p>
      <w:pPr>
        <w:jc w:val="center"/>
      </w:pPr>
      <w:r>
        <w:rPr>
          <w:i/>
          <w:sz w:val="20"/>
        </w:rPr>
        <w:t>A practitioner-oriented framework for deciding what taxpayers should preserve - and for how long.</w:t>
      </w:r>
    </w:p>
    <w:p>
      <w:pPr>
        <w:jc w:val="center"/>
      </w:pPr>
      <w:r>
        <w:rPr>
          <w:color w:val="64715B"/>
          <w:sz w:val="16"/>
        </w:rPr>
        <w:t>Practitioner Resource | Version 1.0 | September 2026</w:t>
      </w:r>
    </w:p>
    <w:p>
      <w:pPr>
        <w:pStyle w:val="Heading1"/>
      </w:pPr>
      <w:r>
        <w:t>Core principle</w:t>
      </w:r>
    </w:p>
    <w:p>
      <w:r>
        <w:t>A statute of limitations is not the same thing as a record-retention schedule. Some records may support basis, ownership, carryovers, elections, or future reporting decades after the return on which they first appeared. A prudent retention policy therefore distinguishes return copies, supporting records, lifecycle records, and permanent tax attributes.</w:t>
      </w:r>
    </w:p>
    <w:p>
      <w:pPr>
        <w:pStyle w:val="Heading1"/>
      </w:pPr>
      <w:r>
        <w:t>Suggested retention framework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23382D"/>
          </w:tcPr>
          <w:p>
            <w:r>
              <w:rPr>
                <w:b/>
                <w:color w:val="FFFFFF"/>
              </w:rPr>
              <w:t>Record Type</w:t>
            </w:r>
          </w:p>
        </w:tc>
        <w:tc>
          <w:tcPr>
            <w:tcW w:type="dxa" w:w="2592"/>
            <w:shd w:fill="23382D"/>
          </w:tcPr>
          <w:p>
            <w:r>
              <w:rPr>
                <w:b/>
                <w:color w:val="FFFFFF"/>
              </w:rPr>
              <w:t>Suggested Retention</w:t>
            </w:r>
          </w:p>
        </w:tc>
        <w:tc>
          <w:tcPr>
            <w:tcW w:type="dxa" w:w="2592"/>
            <w:shd w:fill="23382D"/>
          </w:tcPr>
          <w:p>
            <w:r>
              <w:rPr>
                <w:b/>
                <w:color w:val="FFFFFF"/>
              </w:rPr>
              <w:t>Why</w:t>
            </w:r>
          </w:p>
        </w:tc>
        <w:tc>
          <w:tcPr>
            <w:tcW w:type="dxa" w:w="2592"/>
            <w:shd w:fill="23382D"/>
          </w:tcPr>
          <w:p>
            <w:r>
              <w:rPr>
                <w:b/>
                <w:color w:val="FFFFFF"/>
              </w:rPr>
              <w:t>Examples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Filed tax returns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Permanent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Creates a longitudinal tax history and may be needed to reconstruct elections, carryovers, basis, or prior positions.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Federal and state returns; amended returns; e-file confirmations.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Routine annual support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At least through the applicable assessment/refund period, longer when prudent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Supports amounts reported on a return.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W-2s, 1099s, receipts, charitable acknowledgments, ordinary deduction support.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Property / basis records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Life of asset plus applicable post-disposition period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Basis often depends on records created years or decades earlier.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Closing statements, improvements, depreciation, gifted/inherited basis, stock acquisition records.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Carryovers / suspended items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Until fully used plus applicable post-use period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Future deductions or credits depend on historical attributes.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Capital losses, passive losses, NOLs, credit carryovers, charitable carryovers.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Retirement basis / special tax attributes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Permanent or through complete disposition plus applicable period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Historical basis can control taxation many years later.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Forms 8606, nondeductible IRA basis, after-tax plan basis.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Gift / estate records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Permanent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May be needed for basis, exemption usage, future estate administration, or reporting consistency.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Forms 709, 706, appraisals, valuation files, portability records.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Like-kind exchange / deferred-gain records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Through ultimate disposition and any state tracking requirement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Deferred gain and basis carry into replacement property; some states require recurring reporting.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Exchange files, settlement statements, state deferred-gain forms.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Payroll / employment records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Follow federal and state employment-law retention rules; many tax records require at least several years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Multiple tax and employment statutes can apply.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Forms 941/940, W-2/W-3, payroll registers, withholding records.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Entity / ownership / election records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Permanent while relevant and beyond termination when needed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Tax classification, basis, ownership, and elections can affect later years.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Form 2553, operating records, stock basis, capital accounts, elections, entity termination records.</w:t>
            </w:r>
          </w:p>
        </w:tc>
      </w:tr>
      <w:tr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Digital source and confirmation records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Same period as underlying tax item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Electronic proof may be the only evidence that an action occurred.</w:t>
            </w:r>
          </w:p>
        </w:tc>
        <w:tc>
          <w:tcPr>
            <w:tcW w:type="dxa" w:w="2592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E-file acknowledgments, portal confirmations, QCD confirmations, payment confirmations.</w:t>
            </w:r>
          </w:p>
        </w:tc>
      </w:tr>
    </w:tbl>
    <w:p>
      <w:pPr>
        <w:pStyle w:val="Heading1"/>
      </w:pPr>
      <w:r>
        <w:t>Practitioner reminders</w:t>
      </w:r>
    </w:p>
    <w:p>
      <w:pPr>
        <w:spacing w:after="40"/>
      </w:pPr>
      <w:r>
        <w:t>[ ]  Do not confuse the general federal three-year assessment period with a universal three-year retention rule.</w:t>
      </w:r>
    </w:p>
    <w:p>
      <w:pPr>
        <w:spacing w:after="40"/>
      </w:pPr>
      <w:r>
        <w:t>[ ]  Longer federal periods may apply in particular circumstances, including substantial omissions; fraud or failure to file may prevent the ordinary limitation period from running.</w:t>
      </w:r>
    </w:p>
    <w:p>
      <w:pPr>
        <w:spacing w:after="40"/>
      </w:pPr>
      <w:r>
        <w:t>[ ]  State limitation periods and special state tracking rules may differ from federal rules.</w:t>
      </w:r>
    </w:p>
    <w:p>
      <w:pPr>
        <w:spacing w:after="40"/>
      </w:pPr>
      <w:r>
        <w:t>[ ]  Taxpayer retention and practitioner file-retention obligations are separate questions.</w:t>
      </w:r>
    </w:p>
    <w:p>
      <w:pPr>
        <w:spacing w:after="40"/>
      </w:pPr>
      <w:r>
        <w:t>[ ]  Secure destruction and privacy controls matter once records are no longer required.</w:t>
      </w:r>
    </w:p>
    <w:p>
      <w:pPr>
        <w:pStyle w:val="Heading1"/>
      </w:pPr>
      <w:r>
        <w:t>Permanent-record checklist</w:t>
      </w:r>
    </w:p>
    <w:p>
      <w:pPr>
        <w:spacing w:after="40"/>
      </w:pPr>
      <w:r>
        <w:t>[ ]  Filed returns and amendments</w:t>
      </w:r>
    </w:p>
    <w:p>
      <w:pPr>
        <w:spacing w:after="40"/>
      </w:pPr>
      <w:r>
        <w:t>[ ]  Forms 8606 and other basis records</w:t>
      </w:r>
    </w:p>
    <w:p>
      <w:pPr>
        <w:spacing w:after="40"/>
      </w:pPr>
      <w:r>
        <w:t>[ ]  Gift and estate tax returns / appraisals</w:t>
      </w:r>
    </w:p>
    <w:p>
      <w:pPr>
        <w:spacing w:after="40"/>
      </w:pPr>
      <w:r>
        <w:t>[ ]  Property purchase and improvement records while property is held</w:t>
      </w:r>
    </w:p>
    <w:p>
      <w:pPr>
        <w:spacing w:after="40"/>
      </w:pPr>
      <w:r>
        <w:t>[ ]  Entity formation/classification/election records relevant to tax status</w:t>
      </w:r>
    </w:p>
    <w:p>
      <w:pPr>
        <w:spacing w:after="40"/>
      </w:pPr>
      <w:r>
        <w:t>[ ]  Carryover and suspended-loss schedules until exhausted</w:t>
      </w:r>
    </w:p>
    <w:p>
      <w:pPr>
        <w:spacing w:after="40"/>
      </w:pPr>
      <w:r>
        <w:t>[ ]  §1031 / deferred-gain history through final disposition</w:t>
      </w:r>
    </w:p>
    <w:p>
      <w:pPr>
        <w:spacing w:after="40"/>
      </w:pPr>
      <w:r>
        <w:t>[ ]  Material tax elections and ruling / relief documentation</w:t>
      </w:r>
    </w:p>
    <w:p>
      <w:pPr>
        <w:spacing w:before="160"/>
      </w:pPr>
      <w:r>
        <w:rPr>
          <w:color w:val="64715B"/>
          <w:sz w:val="14"/>
        </w:rPr>
        <w:t>Practitioner use only. This resource is designed to structure professional analysis and documentation; it does not replace verification of current law, professional judgment, legal counsel, valuation expertise, investment advice, or other specialist review when applicable.</w:t>
      </w:r>
    </w:p>
    <w:p>
      <w:pPr>
        <w:jc w:val="center"/>
      </w:pPr>
      <w:r>
        <w:rPr>
          <w:b/>
          <w:sz w:val="14"/>
        </w:rPr>
        <w:t>© 2026 ARNCO DEVELOPMENT LLC. All rights reserved. Developed by Owen S. Arnoff, EA, NTPI Fellow.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38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64715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23382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