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82D"/>
          <w:sz w:val="18"/>
        </w:rPr>
        <w:t>OWEN S. ARNOFF, EA, NTPI FELLOW</w:t>
      </w:r>
    </w:p>
    <w:p>
      <w:pPr>
        <w:pStyle w:val="Title"/>
        <w:jc w:val="center"/>
      </w:pPr>
      <w:r>
        <w:t>Reasonable Compensation Annual Review</w:t>
      </w:r>
    </w:p>
    <w:p>
      <w:pPr>
        <w:jc w:val="center"/>
      </w:pPr>
      <w:r>
        <w:rPr>
          <w:i/>
          <w:sz w:val="20"/>
        </w:rPr>
        <w:t>A fact-based annual review for S corporation shareholder-employees.</w:t>
      </w:r>
    </w:p>
    <w:p>
      <w:pPr>
        <w:jc w:val="center"/>
      </w:pPr>
      <w:r>
        <w:rPr>
          <w:color w:val="64715B"/>
          <w:sz w:val="16"/>
        </w:rPr>
        <w:t>Practitioner Resource | Version 1.0 | September 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Corporation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Shareholder-employee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Tax year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Practitioner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Annual trigger review</w:t>
      </w:r>
    </w:p>
    <w:p>
      <w:pPr>
        <w:spacing w:after="40"/>
      </w:pPr>
      <w:r>
        <w:t>[ ]  Shareholder duties changed materially.</w:t>
      </w:r>
    </w:p>
    <w:p>
      <w:pPr>
        <w:spacing w:after="40"/>
      </w:pPr>
      <w:r>
        <w:t>[ ]  Hours / time commitment changed.</w:t>
      </w:r>
    </w:p>
    <w:p>
      <w:pPr>
        <w:spacing w:after="40"/>
      </w:pPr>
      <w:r>
        <w:t>[ ]  Revenue or profitability changed materially.</w:t>
      </w:r>
    </w:p>
    <w:p>
      <w:pPr>
        <w:spacing w:after="40"/>
      </w:pPr>
      <w:r>
        <w:t>[ ]  Employees or contractors now perform work previously done by the shareholder.</w:t>
      </w:r>
    </w:p>
    <w:p>
      <w:pPr>
        <w:spacing w:after="40"/>
      </w:pPr>
      <w:r>
        <w:t>[ ]  New products, locations, or service lines changed the shareholder role.</w:t>
      </w:r>
    </w:p>
    <w:p>
      <w:pPr>
        <w:spacing w:after="40"/>
      </w:pPr>
      <w:r>
        <w:t>[ ]  Retirement plan design or contribution goals changed.</w:t>
      </w:r>
    </w:p>
    <w:p>
      <w:pPr>
        <w:spacing w:after="40"/>
      </w:pPr>
      <w:r>
        <w:t>[ ]  Financing / mortgage underwriting considerations are relevant.</w:t>
      </w:r>
    </w:p>
    <w:p>
      <w:pPr>
        <w:spacing w:after="40"/>
      </w:pPr>
      <w:r>
        <w:t>[ ]  Prior compensation study is stale or based on different facts.</w:t>
      </w:r>
    </w:p>
    <w:p>
      <w:pPr>
        <w:pStyle w:val="Heading1"/>
      </w:pPr>
      <w:r>
        <w:t>Role and time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Function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Estimated % of Time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Hours / Week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Market Benchmark / Source</w:t>
            </w:r>
          </w:p>
        </w:tc>
        <w:tc>
          <w:tcPr>
            <w:tcW w:type="dxa" w:w="2074"/>
            <w:shd w:fill="23382D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Executive / management</w:t>
            </w:r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Technical / production</w:t>
            </w:r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Sales / business development</w:t>
            </w:r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Client / relationship management</w:t>
            </w:r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Administrative / back office</w:t>
            </w:r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Other</w:t>
            </w:r>
          </w:p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2074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</w:tbl>
    <w:p>
      <w:pPr>
        <w:pStyle w:val="Heading1"/>
      </w:pPr>
      <w:r>
        <w:t>Business context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Gross receipts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Ordinary business income before officer compensation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Other employees / key staff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Shareholder distributions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Retirement plan / contribution objective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Prior-year W-2 compensation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Documentation and conclusion</w:t>
      </w:r>
    </w:p>
    <w:p>
      <w:pPr>
        <w:spacing w:after="40"/>
      </w:pPr>
      <w:r>
        <w:t>[ ]  Comparable compensation data is preserved with source and date.</w:t>
      </w:r>
    </w:p>
    <w:p>
      <w:pPr>
        <w:spacing w:after="40"/>
      </w:pPr>
      <w:r>
        <w:t>[ ]  Geographic and industry context is considered where relevant.</w:t>
      </w:r>
    </w:p>
    <w:p>
      <w:pPr>
        <w:spacing w:after="40"/>
      </w:pPr>
      <w:r>
        <w:t>[ ]  The analysis distinguishes return on shareholder labor from return attributable to employees, systems, capital, goodwill, or other enterprise attributes.</w:t>
      </w:r>
    </w:p>
    <w:p>
      <w:pPr>
        <w:spacing w:after="40"/>
      </w:pPr>
      <w:r>
        <w:t>[ ]  The selected compensation amount remains economically consistent with the S corporation strategy.</w:t>
      </w:r>
    </w:p>
    <w:p>
      <w:pPr>
        <w:spacing w:after="40"/>
      </w:pPr>
      <w:r>
        <w:t>[ ]  Payroll implementation and year-end reconciliation are assigned and confirmed.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Compensation conclusion / range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Final W-2 compensation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Rationale / key assumptions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5184"/>
            <w:shd w:fill="EAE5D8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b/>
              </w:rPr>
              <w:t>Next annual review trigger</w:t>
            </w:r>
          </w:p>
        </w:tc>
        <w:tc>
          <w:tcPr>
            <w:tcW w:type="dxa" w:w="518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pStyle w:val="Heading1"/>
      </w:pPr>
      <w:r>
        <w:t>Practitioner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rPr>
          <w:trHeight w:val="504"/>
        </w:trPr>
        <w:tc>
          <w:tcPr>
            <w:tcW w:type="dxa" w:w="1036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60"/>
      </w:pPr>
      <w:r>
        <w:rPr>
          <w:color w:val="64715B"/>
          <w:sz w:val="14"/>
        </w:rPr>
        <w:t>Practitioner use only. This resource is designed to structure professional analysis and documentation; it does not replace verification of current law, professional judgment, legal counsel, valuation expertise, investment advice, or other specialist review when applicable.</w:t>
      </w:r>
    </w:p>
    <w:p>
      <w:pPr>
        <w:jc w:val="center"/>
      </w:pPr>
      <w:r>
        <w:rPr>
          <w:b/>
          <w:sz w:val="14"/>
        </w:rPr>
        <w:t>© 2026 ARNCO DEVELOPMENT LLC. All rights reserved. Developed by Owen S. Arnoff, EA, NTPI Fellow.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2338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6471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23382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